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50FA" w14:textId="0CE1EB53" w:rsidR="00EE59F2" w:rsidRPr="00345DF5" w:rsidRDefault="00EE59F2" w:rsidP="00EE59F2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r w:rsidRPr="00345DF5">
        <w:rPr>
          <w:b/>
          <w:noProof/>
          <w:sz w:val="24"/>
          <w:szCs w:val="24"/>
        </w:rPr>
        <w:t>3GPP TSG-RAN WG3 Meeting #</w:t>
      </w:r>
      <w:r w:rsidR="006C5C6F" w:rsidRPr="00345DF5">
        <w:rPr>
          <w:b/>
          <w:noProof/>
          <w:sz w:val="24"/>
          <w:szCs w:val="24"/>
        </w:rPr>
        <w:t>130</w:t>
      </w:r>
      <w:r w:rsidRPr="00345DF5">
        <w:rPr>
          <w:b/>
          <w:noProof/>
          <w:sz w:val="24"/>
          <w:szCs w:val="24"/>
        </w:rPr>
        <w:tab/>
      </w:r>
      <w:r w:rsidRPr="00345DF5">
        <w:rPr>
          <w:rFonts w:cs="Arial"/>
          <w:b/>
          <w:i/>
          <w:sz w:val="24"/>
          <w:szCs w:val="24"/>
          <w:lang w:val="en-US" w:eastAsia="zh-CN"/>
        </w:rPr>
        <w:t>R3-</w:t>
      </w:r>
      <w:r w:rsidR="00A84EC7" w:rsidRPr="00345DF5">
        <w:rPr>
          <w:rFonts w:cs="Arial"/>
          <w:b/>
          <w:i/>
          <w:sz w:val="24"/>
          <w:szCs w:val="24"/>
          <w:lang w:val="en-US" w:eastAsia="zh-CN"/>
        </w:rPr>
        <w:t>25</w:t>
      </w:r>
      <w:r w:rsidR="00345DF5" w:rsidRPr="00345DF5">
        <w:rPr>
          <w:rFonts w:cs="Arial"/>
          <w:b/>
          <w:i/>
          <w:sz w:val="24"/>
          <w:szCs w:val="24"/>
          <w:lang w:val="en-US" w:eastAsia="zh-CN"/>
        </w:rPr>
        <w:t>8287</w:t>
      </w:r>
    </w:p>
    <w:bookmarkEnd w:id="0"/>
    <w:p w14:paraId="792E4C33" w14:textId="0EEA5295" w:rsidR="00EE59F2" w:rsidRPr="00345DF5" w:rsidRDefault="006C5C6F" w:rsidP="00EE59F2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345DF5">
        <w:rPr>
          <w:rFonts w:cs="Arial"/>
          <w:b/>
          <w:sz w:val="24"/>
          <w:szCs w:val="24"/>
          <w:lang w:val="de-DE"/>
        </w:rPr>
        <w:t>Dallas</w:t>
      </w:r>
      <w:r w:rsidR="00EE59F2" w:rsidRPr="00345DF5">
        <w:rPr>
          <w:rFonts w:cs="Arial"/>
          <w:b/>
          <w:sz w:val="24"/>
          <w:szCs w:val="24"/>
          <w:lang w:val="de-DE"/>
        </w:rPr>
        <w:t xml:space="preserve">, </w:t>
      </w:r>
      <w:r w:rsidRPr="00345DF5">
        <w:rPr>
          <w:rFonts w:cs="Arial"/>
          <w:b/>
          <w:sz w:val="24"/>
          <w:szCs w:val="24"/>
          <w:lang w:val="de-DE"/>
        </w:rPr>
        <w:t>USA</w:t>
      </w:r>
      <w:r w:rsidR="00EE59F2" w:rsidRPr="00345DF5">
        <w:rPr>
          <w:rFonts w:cs="Arial"/>
          <w:b/>
          <w:sz w:val="24"/>
          <w:szCs w:val="24"/>
          <w:lang w:val="de-DE"/>
        </w:rPr>
        <w:t>, 1</w:t>
      </w:r>
      <w:r w:rsidRPr="00345DF5">
        <w:rPr>
          <w:rFonts w:cs="Arial"/>
          <w:b/>
          <w:sz w:val="24"/>
          <w:szCs w:val="24"/>
          <w:lang w:val="de-DE"/>
        </w:rPr>
        <w:t>7</w:t>
      </w:r>
      <w:r w:rsidR="00121922" w:rsidRPr="00345DF5">
        <w:rPr>
          <w:rFonts w:cs="Arial"/>
          <w:b/>
          <w:sz w:val="24"/>
          <w:szCs w:val="24"/>
          <w:lang w:val="de-DE"/>
        </w:rPr>
        <w:t>th</w:t>
      </w:r>
      <w:r w:rsidR="00EE59F2" w:rsidRPr="00345DF5">
        <w:rPr>
          <w:rFonts w:cs="Arial"/>
          <w:b/>
          <w:sz w:val="24"/>
          <w:szCs w:val="24"/>
          <w:lang w:val="de-DE"/>
        </w:rPr>
        <w:t xml:space="preserve"> – </w:t>
      </w:r>
      <w:r w:rsidRPr="00345DF5">
        <w:rPr>
          <w:rFonts w:cs="Arial"/>
          <w:b/>
          <w:sz w:val="24"/>
          <w:szCs w:val="24"/>
          <w:lang w:val="de-DE"/>
        </w:rPr>
        <w:t>21st</w:t>
      </w:r>
      <w:r w:rsidR="00EE59F2" w:rsidRPr="00345DF5">
        <w:rPr>
          <w:rFonts w:cs="Arial"/>
          <w:b/>
          <w:sz w:val="24"/>
          <w:szCs w:val="24"/>
          <w:lang w:val="de-DE"/>
        </w:rPr>
        <w:t xml:space="preserve"> </w:t>
      </w:r>
      <w:r w:rsidRPr="00345DF5">
        <w:rPr>
          <w:rFonts w:cs="Arial"/>
          <w:b/>
          <w:sz w:val="24"/>
          <w:szCs w:val="24"/>
          <w:lang w:val="de-DE"/>
        </w:rPr>
        <w:t>Novem</w:t>
      </w:r>
      <w:r w:rsidR="00EE59F2" w:rsidRPr="00345DF5">
        <w:rPr>
          <w:rFonts w:cs="Arial"/>
          <w:b/>
          <w:sz w:val="24"/>
          <w:szCs w:val="24"/>
          <w:lang w:val="de-DE"/>
        </w:rPr>
        <w:t>ber, 2025</w:t>
      </w:r>
      <w:r w:rsidR="00EE59F2" w:rsidRPr="00345DF5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345DF5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4E6ECDA2" w:rsidR="0033673C" w:rsidRPr="00A84EC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45DF5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345DF5">
        <w:rPr>
          <w:rFonts w:cs="Arial"/>
          <w:b/>
          <w:bCs/>
          <w:sz w:val="24"/>
          <w:szCs w:val="24"/>
          <w:lang w:val="en-US" w:eastAsia="en-US"/>
        </w:rPr>
        <w:tab/>
      </w:r>
      <w:r w:rsidR="009A132B" w:rsidRPr="00345DF5">
        <w:rPr>
          <w:rFonts w:cs="Arial"/>
          <w:b/>
          <w:bCs/>
          <w:sz w:val="24"/>
          <w:szCs w:val="24"/>
          <w:lang w:val="en-US" w:eastAsia="en-US"/>
        </w:rPr>
        <w:t>10.3.</w:t>
      </w:r>
      <w:r w:rsidR="006C5C6F" w:rsidRPr="00345DF5">
        <w:rPr>
          <w:rFonts w:cs="Arial"/>
          <w:b/>
          <w:bCs/>
          <w:sz w:val="24"/>
          <w:szCs w:val="24"/>
          <w:lang w:val="en-US" w:eastAsia="en-US"/>
        </w:rPr>
        <w:t>1</w:t>
      </w:r>
    </w:p>
    <w:p w14:paraId="05FFC86E" w14:textId="77777777" w:rsidR="0033673C" w:rsidRPr="00A84EC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03DF26A7" w:rsidR="0033673C" w:rsidRPr="00A84EC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1" w:name="_Hlk126761937"/>
      <w:r w:rsidRPr="00A84EC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A84EC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8F5DB7" w:rsidRPr="00A84EC7">
        <w:rPr>
          <w:rFonts w:cs="Arial"/>
          <w:b/>
          <w:bCs/>
          <w:sz w:val="24"/>
          <w:szCs w:val="24"/>
          <w:lang w:val="en-US" w:eastAsia="en-US"/>
        </w:rPr>
        <w:t xml:space="preserve">6G 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>RAN</w:t>
      </w:r>
      <w:r w:rsidR="009A132B" w:rsidRPr="00A84EC7">
        <w:rPr>
          <w:rFonts w:cs="Arial"/>
          <w:b/>
          <w:bCs/>
          <w:sz w:val="24"/>
          <w:szCs w:val="24"/>
          <w:lang w:val="en-US"/>
        </w:rPr>
        <w:t>-CN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 xml:space="preserve"> </w:t>
      </w:r>
      <w:r w:rsidR="00A370C7" w:rsidRPr="00A84EC7">
        <w:rPr>
          <w:rFonts w:cs="Arial"/>
          <w:b/>
          <w:bCs/>
          <w:sz w:val="24"/>
          <w:szCs w:val="24"/>
          <w:lang w:val="en-US"/>
        </w:rPr>
        <w:t>i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>nterfaces</w:t>
      </w:r>
    </w:p>
    <w:p w14:paraId="0C9E2757" w14:textId="77777777" w:rsidR="0033673C" w:rsidRPr="00A84EC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ac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</w:t>
            </w:r>
            <w:proofErr w:type="gramStart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e.g.</w:t>
            </w:r>
            <w:proofErr w:type="gramEnd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AI/ML, sensing, etc). [RAN3, RAN2]</w:t>
            </w:r>
          </w:p>
          <w:p w14:paraId="6DAE1037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Overall RAN architecture aspects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[RAN3, RAN2]</w:t>
            </w:r>
          </w:p>
          <w:p w14:paraId="49B10C62" w14:textId="77777777" w:rsidR="009E1A54" w:rsidRPr="00232BA6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232BA6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7A25650E" w14:textId="5CBA8767" w:rsidR="009E1A54" w:rsidRDefault="009E1A54" w:rsidP="0033673C">
      <w:pPr>
        <w:pStyle w:val="ac"/>
        <w:spacing w:beforeLines="50" w:before="120"/>
      </w:pPr>
      <w:r>
        <w:rPr>
          <w:rFonts w:hint="eastAsia"/>
        </w:rPr>
        <w:t>B</w:t>
      </w:r>
      <w:r>
        <w:t>esides, an interim milestone is set for RAN3 as shown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A54" w14:paraId="2D831F8F" w14:textId="77777777" w:rsidTr="009E1A54">
        <w:tc>
          <w:tcPr>
            <w:tcW w:w="9629" w:type="dxa"/>
          </w:tcPr>
          <w:p w14:paraId="10AB284D" w14:textId="77777777" w:rsidR="00EF130A" w:rsidRPr="00EF130A" w:rsidRDefault="00EF130A" w:rsidP="00EF130A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MS Mincho"/>
                <w:lang w:eastAsia="en-GB"/>
              </w:rPr>
            </w:pPr>
            <w:r w:rsidRPr="00EF130A">
              <w:rPr>
                <w:rFonts w:eastAsia="MS Mincho"/>
                <w:lang w:eastAsia="en-GB"/>
              </w:rPr>
              <w:t>4.1.1</w:t>
            </w:r>
            <w:r w:rsidRPr="00EF130A">
              <w:rPr>
                <w:rFonts w:eastAsia="MS Mincho"/>
                <w:lang w:eastAsia="en-GB"/>
              </w:rPr>
              <w:tab/>
            </w:r>
            <w:r w:rsidRPr="00EF130A">
              <w:rPr>
                <w:rFonts w:eastAsia="MS Mincho"/>
                <w:color w:val="000000"/>
                <w:lang w:eastAsia="en-GB"/>
              </w:rPr>
              <w:t>Interim Milestone</w:t>
            </w:r>
          </w:p>
          <w:p w14:paraId="1135D556" w14:textId="77777777" w:rsidR="00EF130A" w:rsidRPr="00EF130A" w:rsidRDefault="00EF130A" w:rsidP="00EF130A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 xml:space="preserve">Interim results shall be delivered as per the milestones below, in coordination with the </w:t>
            </w:r>
            <w:r w:rsidRPr="00EF130A">
              <w:rPr>
                <w:rFonts w:ascii="Times New Roman" w:eastAsia="MS Mincho" w:hAnsi="Times New Roman" w:hint="eastAsia"/>
                <w:bCs/>
                <w:lang w:eastAsia="ja-JP"/>
              </w:rPr>
              <w:t xml:space="preserve">Rel-20 </w:t>
            </w:r>
            <w:r w:rsidRPr="00EF130A">
              <w:rPr>
                <w:rFonts w:ascii="Times New Roman" w:eastAsia="MS Mincho" w:hAnsi="Times New Roman"/>
                <w:bCs/>
                <w:lang w:eastAsia="en-GB"/>
              </w:rPr>
              <w:t>RAN Plenary 6G Study (FS_6G_RAN_Scen_Req).</w:t>
            </w:r>
          </w:p>
          <w:p w14:paraId="59460308" w14:textId="77777777" w:rsidR="00EF130A" w:rsidRPr="00EF130A" w:rsidRDefault="00EF130A" w:rsidP="00EF130A">
            <w:pPr>
              <w:keepLines/>
              <w:spacing w:after="180"/>
              <w:jc w:val="left"/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</w:pPr>
            <w:r w:rsidRPr="00EF130A"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  <w:t xml:space="preserve">TSG#112 (June/2026): </w:t>
            </w:r>
          </w:p>
          <w:p w14:paraId="6DEF2BFC" w14:textId="77777777" w:rsidR="00EF130A" w:rsidRPr="00EF130A" w:rsidRDefault="00EF130A" w:rsidP="00EF130A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>RAN1 to provide interim assessment on the following areas:</w:t>
            </w:r>
          </w:p>
          <w:p w14:paraId="0B7759D6" w14:textId="77777777" w:rsidR="00EF130A" w:rsidRPr="00EF130A" w:rsidRDefault="00EF130A" w:rsidP="00EF130A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>Waveform, modulation, channel coding: scope of enhancements beyond NR baseline ((2) a, c)</w:t>
            </w:r>
          </w:p>
          <w:p w14:paraId="7CBE20CF" w14:textId="77777777" w:rsidR="00EF130A" w:rsidRPr="00EF130A" w:rsidRDefault="00EF130A" w:rsidP="00EF130A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>Channel bandwidth (min and max), frame structure, numerology ((2) b, d)</w:t>
            </w:r>
          </w:p>
          <w:p w14:paraId="24FD9CA3" w14:textId="77777777" w:rsidR="00EF130A" w:rsidRPr="00EF130A" w:rsidRDefault="00EF130A" w:rsidP="00EF130A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 xml:space="preserve">Basic sync signal structure and associated periodicity(ies) ((2) h) </w:t>
            </w:r>
          </w:p>
          <w:p w14:paraId="306EE15F" w14:textId="77777777" w:rsidR="00EF130A" w:rsidRPr="00EF130A" w:rsidRDefault="00EF130A" w:rsidP="00EF130A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>For objectives where RAN4 may be impacted, RAN1 shall coordinate with RAN4 early to enable the above assessment by June 2026.</w:t>
            </w:r>
          </w:p>
          <w:p w14:paraId="28C8D048" w14:textId="77777777" w:rsidR="00EF130A" w:rsidRPr="00EF130A" w:rsidRDefault="00EF130A" w:rsidP="00EF130A">
            <w:pPr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RAN3 to provide interim study results to allow TSGs to make a decision on:</w:t>
            </w:r>
          </w:p>
          <w:p w14:paraId="3AEB1AAC" w14:textId="77777777" w:rsidR="00EF130A" w:rsidRPr="00EF130A" w:rsidRDefault="00EF130A" w:rsidP="00EF130A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RAN-CN interface: P2P vs SBI</w:t>
            </w:r>
          </w:p>
          <w:p w14:paraId="686AFB05" w14:textId="77777777" w:rsidR="00EF130A" w:rsidRPr="00EF130A" w:rsidRDefault="00EF130A" w:rsidP="00EF130A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>RAN internal interfaces: CU-DU split, CP-UP split.</w:t>
            </w:r>
          </w:p>
          <w:p w14:paraId="68129FA3" w14:textId="15C4108B" w:rsidR="009E1A54" w:rsidRPr="009E1A54" w:rsidRDefault="00EF130A" w:rsidP="009E1A54">
            <w:pPr>
              <w:spacing w:after="180"/>
              <w:jc w:val="left"/>
              <w:rPr>
                <w:rFonts w:ascii="Times New Roman" w:eastAsia="MS Mincho" w:hAnsi="Times New Roman" w:hint="eastAsia"/>
                <w:bCs/>
                <w:lang w:eastAsia="en-GB"/>
              </w:rPr>
            </w:pPr>
            <w:r w:rsidRPr="00EF130A">
              <w:rPr>
                <w:rFonts w:ascii="Times New Roman" w:eastAsia="MS Mincho" w:hAnsi="Times New Roman"/>
                <w:bCs/>
                <w:lang w:eastAsia="en-GB"/>
              </w:rPr>
              <w:t>NOTE: It is planned to decide on Release-21 timeline in June/2026.</w:t>
            </w:r>
          </w:p>
        </w:tc>
      </w:tr>
    </w:tbl>
    <w:p w14:paraId="1527D42E" w14:textId="76D1A4EB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 w:rsidR="009E1A54">
        <w:t>RAN</w:t>
      </w:r>
      <w:r w:rsidR="00182036">
        <w:t>-CN</w:t>
      </w:r>
      <w:r w:rsidR="009E1A54">
        <w:t xml:space="preserve"> interface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57084ECA" w14:textId="2933C62E" w:rsidR="00F64F03" w:rsidRDefault="00F64F03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64F03">
        <w:rPr>
          <w:rFonts w:eastAsiaTheme="minorEastAsia"/>
          <w:szCs w:val="24"/>
        </w:rPr>
        <w:t>During the migration of core network from 4G to 5G, one of th</w:t>
      </w:r>
      <w:r w:rsidR="0090113E">
        <w:rPr>
          <w:rFonts w:eastAsiaTheme="minorEastAsia"/>
          <w:szCs w:val="24"/>
        </w:rPr>
        <w:t xml:space="preserve">e </w:t>
      </w:r>
      <w:r w:rsidRPr="00F64F03">
        <w:rPr>
          <w:rFonts w:eastAsiaTheme="minorEastAsia"/>
          <w:szCs w:val="24"/>
        </w:rPr>
        <w:t xml:space="preserve">important </w:t>
      </w:r>
      <w:r w:rsidR="00454B78" w:rsidRPr="00F64F03">
        <w:rPr>
          <w:rFonts w:eastAsiaTheme="minorEastAsia"/>
          <w:szCs w:val="24"/>
        </w:rPr>
        <w:t>evolutions</w:t>
      </w:r>
      <w:r w:rsidRPr="00F64F03">
        <w:rPr>
          <w:rFonts w:eastAsiaTheme="minorEastAsia"/>
          <w:szCs w:val="24"/>
        </w:rPr>
        <w:t xml:space="preserve"> of core network is to transit to service-based architecture, which paves the way for ongoing evolution and enhancements in network capability. Now, in 6G, whether to extend SBA to RAN-CN interface</w:t>
      </w:r>
      <w:r>
        <w:rPr>
          <w:rFonts w:eastAsiaTheme="minorEastAsia"/>
          <w:szCs w:val="24"/>
        </w:rPr>
        <w:t xml:space="preserve"> </w:t>
      </w:r>
      <w:r w:rsidR="00B363B9">
        <w:rPr>
          <w:rFonts w:eastAsiaTheme="minorEastAsia"/>
          <w:szCs w:val="24"/>
        </w:rPr>
        <w:t xml:space="preserve">or not </w:t>
      </w:r>
      <w:r>
        <w:rPr>
          <w:rFonts w:eastAsiaTheme="minorEastAsia"/>
          <w:szCs w:val="24"/>
        </w:rPr>
        <w:t>needs to be further studied.</w:t>
      </w:r>
    </w:p>
    <w:p w14:paraId="0D644D63" w14:textId="5BF99253" w:rsidR="00704369" w:rsidRDefault="00704369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5G, the interface between RAN node and AMF is P2P, and the interfaces between AMF and other NFs are </w:t>
      </w:r>
      <w:r>
        <w:rPr>
          <w:rFonts w:eastAsiaTheme="minorEastAsia" w:hint="eastAsia"/>
          <w:szCs w:val="24"/>
        </w:rPr>
        <w:t>service</w:t>
      </w:r>
      <w:r>
        <w:rPr>
          <w:rFonts w:eastAsiaTheme="minorEastAsia"/>
          <w:szCs w:val="24"/>
        </w:rPr>
        <w:t>-based.</w:t>
      </w:r>
    </w:p>
    <w:p w14:paraId="66A57962" w14:textId="793C351A" w:rsidR="00A43542" w:rsidRDefault="00A43542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D3C24">
        <w:rPr>
          <w:rFonts w:eastAsiaTheme="minorEastAsia"/>
          <w:szCs w:val="24"/>
        </w:rPr>
        <w:t>N</w:t>
      </w:r>
      <w:r>
        <w:rPr>
          <w:rFonts w:eastAsiaTheme="minorEastAsia" w:hint="eastAsia"/>
          <w:szCs w:val="24"/>
        </w:rPr>
        <w:t>AS</w:t>
      </w:r>
      <w:r w:rsidRPr="006D3C24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signalling</w:t>
      </w:r>
      <w:r w:rsidR="00655BCF">
        <w:rPr>
          <w:rFonts w:eastAsiaTheme="minorEastAsia"/>
          <w:szCs w:val="24"/>
        </w:rPr>
        <w:t xml:space="preserve"> from/to UE</w:t>
      </w:r>
      <w:r w:rsidRPr="006D3C24">
        <w:rPr>
          <w:rFonts w:eastAsiaTheme="minorEastAsia"/>
          <w:szCs w:val="24"/>
        </w:rPr>
        <w:t xml:space="preserve"> is carried by NGAP signalling</w:t>
      </w:r>
      <w:r>
        <w:rPr>
          <w:rFonts w:eastAsiaTheme="minorEastAsia"/>
          <w:szCs w:val="24"/>
        </w:rPr>
        <w:t xml:space="preserve"> </w:t>
      </w:r>
      <w:r w:rsidRPr="006D3C24">
        <w:rPr>
          <w:rFonts w:eastAsiaTheme="minorEastAsia"/>
          <w:szCs w:val="24"/>
        </w:rPr>
        <w:t>via the NG control plane interface</w:t>
      </w:r>
      <w:r w:rsidR="00EE5204">
        <w:rPr>
          <w:rFonts w:eastAsiaTheme="minorEastAsia"/>
          <w:szCs w:val="24"/>
        </w:rPr>
        <w:t>, i.e.,</w:t>
      </w:r>
      <w:r w:rsidR="00C57A8B">
        <w:rPr>
          <w:rFonts w:eastAsiaTheme="minorEastAsia"/>
          <w:szCs w:val="24"/>
        </w:rPr>
        <w:t xml:space="preserve"> </w:t>
      </w:r>
      <w:r w:rsidR="00EE5204">
        <w:rPr>
          <w:rFonts w:eastAsiaTheme="minorEastAsia"/>
          <w:szCs w:val="24"/>
        </w:rPr>
        <w:t>b</w:t>
      </w:r>
      <w:r w:rsidR="00C57A8B">
        <w:rPr>
          <w:rFonts w:eastAsiaTheme="minorEastAsia"/>
          <w:szCs w:val="24"/>
        </w:rPr>
        <w:t xml:space="preserve">esides handling the NAS signalling for mobility management, i.e., NAS-MM, AMF also needs </w:t>
      </w:r>
      <w:r>
        <w:rPr>
          <w:rFonts w:eastAsiaTheme="minorEastAsia"/>
          <w:szCs w:val="24"/>
        </w:rPr>
        <w:t xml:space="preserve">to forward the </w:t>
      </w:r>
      <w:r>
        <w:rPr>
          <w:rFonts w:eastAsiaTheme="minorEastAsia" w:hint="eastAsia"/>
          <w:szCs w:val="24"/>
        </w:rPr>
        <w:t>NAS</w:t>
      </w:r>
      <w:r>
        <w:rPr>
          <w:rFonts w:eastAsiaTheme="minorEastAsia"/>
          <w:szCs w:val="24"/>
        </w:rPr>
        <w:t xml:space="preserve"> signalling</w:t>
      </w:r>
      <w:r w:rsidR="003171BF">
        <w:rPr>
          <w:rFonts w:eastAsiaTheme="minorEastAsia"/>
          <w:szCs w:val="24"/>
        </w:rPr>
        <w:t xml:space="preserve"> between UE and other </w:t>
      </w:r>
      <w:r w:rsidR="003171BF">
        <w:rPr>
          <w:rFonts w:eastAsiaTheme="minorEastAsia" w:hint="eastAsia"/>
          <w:szCs w:val="24"/>
        </w:rPr>
        <w:t>NFs</w:t>
      </w:r>
      <w:r w:rsidR="00EF479D">
        <w:rPr>
          <w:rFonts w:eastAsiaTheme="minorEastAsia"/>
          <w:szCs w:val="24"/>
        </w:rPr>
        <w:t>, e.g., NAS-SM, SMS, UE policy or LCS</w:t>
      </w:r>
      <w:r>
        <w:rPr>
          <w:rFonts w:eastAsiaTheme="minorEastAsia"/>
          <w:szCs w:val="24"/>
        </w:rPr>
        <w:t xml:space="preserve">. The protocol stack is shown as below. </w:t>
      </w:r>
    </w:p>
    <w:p w14:paraId="752E88ED" w14:textId="726D45A3" w:rsidR="00A43542" w:rsidRPr="006D3C24" w:rsidRDefault="00C57A8B" w:rsidP="00A43542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9270" w:dyaOrig="4335" w14:anchorId="346E2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85pt;height:216.45pt" o:ole="">
            <v:imagedata r:id="rId8" o:title=""/>
          </v:shape>
          <o:OLEObject Type="Embed" ProgID="Visio.Drawing.15" ShapeID="_x0000_i1025" DrawAspect="Content" ObjectID="_1824015657" r:id="rId9"/>
        </w:object>
      </w:r>
    </w:p>
    <w:p w14:paraId="0ABA8820" w14:textId="235C9D43" w:rsidR="006D236A" w:rsidRDefault="00C57A8B" w:rsidP="003171BF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Similarly, from RAN node side, </w:t>
      </w:r>
      <w:r w:rsidR="00EE5204">
        <w:rPr>
          <w:rFonts w:eastAsiaTheme="minorEastAsia"/>
          <w:szCs w:val="24"/>
        </w:rPr>
        <w:t xml:space="preserve">besides handling control plane signalling between RAN node and AMF, </w:t>
      </w:r>
      <w:r>
        <w:rPr>
          <w:rFonts w:eastAsiaTheme="minorEastAsia"/>
          <w:szCs w:val="24"/>
        </w:rPr>
        <w:t>AMF</w:t>
      </w:r>
      <w:r w:rsidR="00EE5204">
        <w:rPr>
          <w:rFonts w:eastAsiaTheme="minorEastAsia"/>
          <w:szCs w:val="24"/>
        </w:rPr>
        <w:t xml:space="preserve"> also</w:t>
      </w:r>
      <w:r>
        <w:rPr>
          <w:rFonts w:eastAsiaTheme="minorEastAsia"/>
          <w:szCs w:val="24"/>
        </w:rPr>
        <w:t xml:space="preserve"> has to forward </w:t>
      </w:r>
      <w:r w:rsidR="00EE5204">
        <w:rPr>
          <w:rFonts w:eastAsiaTheme="minorEastAsia"/>
          <w:szCs w:val="24"/>
        </w:rPr>
        <w:t xml:space="preserve">the </w:t>
      </w:r>
      <w:r w:rsidR="00EF479D">
        <w:rPr>
          <w:rFonts w:eastAsiaTheme="minorEastAsia"/>
          <w:szCs w:val="24"/>
        </w:rPr>
        <w:t>control plane</w:t>
      </w:r>
      <w:r w:rsidR="006D236A">
        <w:rPr>
          <w:rFonts w:eastAsiaTheme="minorEastAsia"/>
          <w:szCs w:val="24"/>
        </w:rPr>
        <w:t xml:space="preserve"> signalling</w:t>
      </w:r>
      <w:r w:rsidR="00EE5204">
        <w:rPr>
          <w:rFonts w:eastAsiaTheme="minorEastAsia"/>
          <w:szCs w:val="24"/>
        </w:rPr>
        <w:t xml:space="preserve"> of other NFs, e.g., NRPPa. The protocol stack is shown as below.</w:t>
      </w:r>
    </w:p>
    <w:p w14:paraId="254D94AB" w14:textId="5F6E1886" w:rsidR="006D236A" w:rsidRPr="003171BF" w:rsidRDefault="005869AB" w:rsidP="00345DF5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6766" w:dyaOrig="3705" w14:anchorId="429168CB">
          <v:shape id="_x0000_i1026" type="#_x0000_t75" style="width:337.85pt;height:185.55pt" o:ole="">
            <v:imagedata r:id="rId10" o:title=""/>
          </v:shape>
          <o:OLEObject Type="Embed" ProgID="Visio.Drawing.15" ShapeID="_x0000_i1026" DrawAspect="Content" ObjectID="_1824015658" r:id="rId11"/>
        </w:object>
      </w:r>
    </w:p>
    <w:p w14:paraId="4D7BE726" w14:textId="6B188D68" w:rsidR="00A43542" w:rsidRDefault="00704369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With new services such as AI/ML and sensing</w:t>
      </w:r>
      <w:r w:rsidR="00707A02">
        <w:rPr>
          <w:rFonts w:eastAsiaTheme="minorEastAsia"/>
          <w:szCs w:val="24"/>
        </w:rPr>
        <w:t xml:space="preserve"> in 6G</w:t>
      </w:r>
      <w:r>
        <w:rPr>
          <w:rFonts w:eastAsiaTheme="minorEastAsia"/>
          <w:szCs w:val="24"/>
        </w:rPr>
        <w:t xml:space="preserve">, </w:t>
      </w:r>
      <w:r w:rsidR="00707A02">
        <w:rPr>
          <w:rFonts w:eastAsiaTheme="minorEastAsia"/>
          <w:szCs w:val="24"/>
        </w:rPr>
        <w:t xml:space="preserve">heavy transport overhead is expected due to </w:t>
      </w:r>
      <w:r>
        <w:rPr>
          <w:rFonts w:eastAsiaTheme="minorEastAsia"/>
          <w:szCs w:val="24"/>
        </w:rPr>
        <w:t xml:space="preserve">data </w:t>
      </w:r>
      <w:r w:rsidR="00707A02">
        <w:rPr>
          <w:rFonts w:eastAsiaTheme="minorEastAsia"/>
          <w:szCs w:val="24"/>
        </w:rPr>
        <w:t xml:space="preserve">collected </w:t>
      </w:r>
      <w:r>
        <w:rPr>
          <w:rFonts w:eastAsiaTheme="minorEastAsia"/>
          <w:szCs w:val="24"/>
        </w:rPr>
        <w:t>from UE side and RAN node side</w:t>
      </w:r>
      <w:r w:rsidR="00707A02">
        <w:rPr>
          <w:rFonts w:eastAsiaTheme="minorEastAsia"/>
          <w:szCs w:val="24"/>
        </w:rPr>
        <w:t>, including both UE-associated data and non-UE-associated data.</w:t>
      </w:r>
      <w:r w:rsidR="00CC6682">
        <w:rPr>
          <w:rFonts w:eastAsiaTheme="minorEastAsia" w:hint="eastAsia"/>
          <w:szCs w:val="24"/>
        </w:rPr>
        <w:t xml:space="preserve"> </w:t>
      </w:r>
      <w:r w:rsidR="00707A02">
        <w:rPr>
          <w:rFonts w:eastAsiaTheme="minorEastAsia" w:hint="eastAsia"/>
          <w:szCs w:val="24"/>
        </w:rPr>
        <w:t>E</w:t>
      </w:r>
      <w:r w:rsidR="00707A02">
        <w:rPr>
          <w:rFonts w:eastAsiaTheme="minorEastAsia"/>
          <w:szCs w:val="24"/>
        </w:rPr>
        <w:t xml:space="preserve">specially for non-UE-associated large-volume data from RAN node side, </w:t>
      </w:r>
      <w:r w:rsidR="00C45EE6">
        <w:rPr>
          <w:rFonts w:eastAsiaTheme="minorEastAsia"/>
          <w:szCs w:val="24"/>
        </w:rPr>
        <w:t xml:space="preserve">e.g., sensing measurement data from TRP, AI/ML data of RAN node for training/model transfer, </w:t>
      </w:r>
      <w:r w:rsidR="00707A02">
        <w:rPr>
          <w:rFonts w:eastAsiaTheme="minorEastAsia"/>
          <w:szCs w:val="24"/>
        </w:rPr>
        <w:t xml:space="preserve">it is </w:t>
      </w:r>
      <w:r w:rsidR="00C45EE6">
        <w:rPr>
          <w:rFonts w:eastAsiaTheme="minorEastAsia"/>
          <w:szCs w:val="24"/>
        </w:rPr>
        <w:t>not applicable to transfer over</w:t>
      </w:r>
      <w:r w:rsidR="00707A02">
        <w:rPr>
          <w:rFonts w:eastAsiaTheme="minorEastAsia"/>
          <w:szCs w:val="24"/>
        </w:rPr>
        <w:t xml:space="preserve"> user plane</w:t>
      </w:r>
      <w:r w:rsidR="00C45EE6">
        <w:rPr>
          <w:rFonts w:eastAsiaTheme="minorEastAsia"/>
          <w:szCs w:val="24"/>
        </w:rPr>
        <w:t xml:space="preserve"> due to non-UE-associated </w:t>
      </w:r>
      <w:r w:rsidR="00C45EE6" w:rsidRPr="00C45EE6">
        <w:rPr>
          <w:rFonts w:eastAsiaTheme="minorEastAsia"/>
          <w:szCs w:val="24"/>
        </w:rPr>
        <w:t>nature</w:t>
      </w:r>
      <w:r w:rsidR="00C45EE6">
        <w:rPr>
          <w:rFonts w:eastAsiaTheme="minorEastAsia"/>
          <w:szCs w:val="24"/>
        </w:rPr>
        <w:t xml:space="preserve">, </w:t>
      </w:r>
      <w:r w:rsidR="00CC6682">
        <w:rPr>
          <w:rFonts w:eastAsiaTheme="minorEastAsia"/>
          <w:szCs w:val="24"/>
        </w:rPr>
        <w:t xml:space="preserve">however relying on legacy control plane to transfer this kind of large-volume data also is </w:t>
      </w:r>
      <w:r w:rsidR="00CC6682" w:rsidRPr="00CC6682">
        <w:rPr>
          <w:rFonts w:eastAsiaTheme="minorEastAsia"/>
          <w:szCs w:val="24"/>
        </w:rPr>
        <w:t>questionable</w:t>
      </w:r>
      <w:r w:rsidR="00CC6682">
        <w:rPr>
          <w:rFonts w:eastAsiaTheme="minorEastAsia"/>
          <w:szCs w:val="24"/>
        </w:rPr>
        <w:t>, considering that</w:t>
      </w:r>
      <w:r w:rsidR="00C45EE6">
        <w:rPr>
          <w:rFonts w:eastAsiaTheme="minorEastAsia"/>
          <w:szCs w:val="24"/>
        </w:rPr>
        <w:t xml:space="preserve"> </w:t>
      </w:r>
      <w:r w:rsidR="00CC6682">
        <w:rPr>
          <w:rFonts w:eastAsiaTheme="minorEastAsia"/>
          <w:szCs w:val="24"/>
        </w:rPr>
        <w:t>i</w:t>
      </w:r>
      <w:r w:rsidR="006B0F77">
        <w:rPr>
          <w:rFonts w:eastAsiaTheme="minorEastAsia"/>
          <w:szCs w:val="24"/>
        </w:rPr>
        <w:t xml:space="preserve">n case </w:t>
      </w:r>
      <w:r w:rsidR="00CC6682">
        <w:rPr>
          <w:rFonts w:eastAsiaTheme="minorEastAsia"/>
          <w:szCs w:val="24"/>
        </w:rPr>
        <w:t xml:space="preserve">of </w:t>
      </w:r>
      <w:r w:rsidR="006B0F77">
        <w:rPr>
          <w:rFonts w:eastAsiaTheme="minorEastAsia"/>
          <w:szCs w:val="24"/>
        </w:rPr>
        <w:t>heavy</w:t>
      </w:r>
      <w:r w:rsidR="00655BCF">
        <w:rPr>
          <w:rFonts w:eastAsiaTheme="minorEastAsia"/>
          <w:szCs w:val="24"/>
        </w:rPr>
        <w:t xml:space="preserve"> </w:t>
      </w:r>
      <w:r w:rsidR="006B0F77">
        <w:rPr>
          <w:rFonts w:eastAsiaTheme="minorEastAsia"/>
          <w:szCs w:val="24"/>
        </w:rPr>
        <w:t>overhead</w:t>
      </w:r>
      <w:r w:rsidR="00CC6682">
        <w:rPr>
          <w:rFonts w:eastAsiaTheme="minorEastAsia"/>
          <w:szCs w:val="24"/>
        </w:rPr>
        <w:t xml:space="preserve"> for control plane signalling transfer</w:t>
      </w:r>
      <w:r w:rsidR="003171BF">
        <w:rPr>
          <w:rFonts w:eastAsiaTheme="minorEastAsia"/>
          <w:szCs w:val="24"/>
        </w:rPr>
        <w:t>,</w:t>
      </w:r>
      <w:r w:rsidR="006B0F77">
        <w:rPr>
          <w:rFonts w:eastAsiaTheme="minorEastAsia"/>
          <w:szCs w:val="24"/>
        </w:rPr>
        <w:t xml:space="preserve"> a centralized AMF and the P2P interface between RAN </w:t>
      </w:r>
      <w:r w:rsidR="00E8024A">
        <w:rPr>
          <w:rFonts w:eastAsiaTheme="minorEastAsia" w:hint="eastAsia"/>
          <w:szCs w:val="24"/>
        </w:rPr>
        <w:t>node</w:t>
      </w:r>
      <w:r w:rsidR="00E8024A">
        <w:rPr>
          <w:rFonts w:eastAsiaTheme="minorEastAsia"/>
          <w:szCs w:val="24"/>
        </w:rPr>
        <w:t xml:space="preserve"> </w:t>
      </w:r>
      <w:r w:rsidR="006B0F77">
        <w:rPr>
          <w:rFonts w:eastAsiaTheme="minorEastAsia"/>
          <w:szCs w:val="24"/>
        </w:rPr>
        <w:t xml:space="preserve">and AMF </w:t>
      </w:r>
      <w:r w:rsidR="00CC6682">
        <w:rPr>
          <w:rFonts w:eastAsiaTheme="minorEastAsia"/>
          <w:szCs w:val="24"/>
        </w:rPr>
        <w:t xml:space="preserve">would be </w:t>
      </w:r>
      <w:r w:rsidR="006B0F77">
        <w:rPr>
          <w:rFonts w:eastAsiaTheme="minorEastAsia"/>
          <w:szCs w:val="24"/>
        </w:rPr>
        <w:t>the bottleneck.</w:t>
      </w:r>
    </w:p>
    <w:p w14:paraId="02BC1E76" w14:textId="2FE2E0C2" w:rsidR="00A43542" w:rsidRDefault="006B0F77" w:rsidP="00A43542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6B0F77">
        <w:rPr>
          <w:b/>
          <w:bCs/>
        </w:rPr>
        <w:t xml:space="preserve">In case that </w:t>
      </w:r>
      <w:bookmarkStart w:id="4" w:name="_Hlk209543871"/>
      <w:r w:rsidRPr="006B0F77">
        <w:rPr>
          <w:b/>
          <w:bCs/>
        </w:rPr>
        <w:t xml:space="preserve">heavy </w:t>
      </w:r>
      <w:r w:rsidR="00707A02" w:rsidRPr="00707A02">
        <w:rPr>
          <w:b/>
          <w:bCs/>
        </w:rPr>
        <w:t xml:space="preserve">transport </w:t>
      </w:r>
      <w:r w:rsidRPr="006B0F77">
        <w:rPr>
          <w:b/>
          <w:bCs/>
        </w:rPr>
        <w:t>overhead</w:t>
      </w:r>
      <w:bookmarkEnd w:id="4"/>
      <w:r w:rsidRPr="006B0F77">
        <w:rPr>
          <w:b/>
          <w:bCs/>
        </w:rPr>
        <w:t xml:space="preserve"> is expected in 6G, </w:t>
      </w:r>
      <w:bookmarkStart w:id="5" w:name="_Hlk209543927"/>
      <w:r w:rsidR="00704369" w:rsidRPr="00704369">
        <w:rPr>
          <w:b/>
          <w:bCs/>
        </w:rPr>
        <w:t>especially for new services such as AI/ML and sensing,</w:t>
      </w:r>
      <w:r w:rsidR="00704369">
        <w:rPr>
          <w:b/>
          <w:bCs/>
        </w:rPr>
        <w:t xml:space="preserve"> </w:t>
      </w:r>
      <w:r w:rsidRPr="006B0F77">
        <w:rPr>
          <w:b/>
          <w:bCs/>
        </w:rPr>
        <w:t>a centralized AMF and the P2P</w:t>
      </w:r>
      <w:r w:rsidR="00F64F03">
        <w:rPr>
          <w:b/>
          <w:bCs/>
        </w:rPr>
        <w:t>-based RAN-CN</w:t>
      </w:r>
      <w:r w:rsidRPr="006B0F77">
        <w:rPr>
          <w:b/>
          <w:bCs/>
        </w:rPr>
        <w:t xml:space="preserve"> interface between RAN </w:t>
      </w:r>
      <w:r w:rsidR="00E8024A">
        <w:rPr>
          <w:rFonts w:hint="eastAsia"/>
          <w:b/>
          <w:bCs/>
        </w:rPr>
        <w:t>node</w:t>
      </w:r>
      <w:r w:rsidR="00E8024A">
        <w:rPr>
          <w:b/>
          <w:bCs/>
        </w:rPr>
        <w:t xml:space="preserve"> </w:t>
      </w:r>
      <w:r w:rsidRPr="006B0F77">
        <w:rPr>
          <w:b/>
          <w:bCs/>
        </w:rPr>
        <w:t>and AMF</w:t>
      </w:r>
      <w:bookmarkEnd w:id="5"/>
      <w:r w:rsidRPr="006B0F77">
        <w:rPr>
          <w:b/>
          <w:bCs/>
        </w:rPr>
        <w:t xml:space="preserve"> are the bottleneck for </w:t>
      </w:r>
      <w:r w:rsidR="00707A02" w:rsidRPr="00707A02">
        <w:rPr>
          <w:b/>
          <w:bCs/>
        </w:rPr>
        <w:t>control plane signalling transfer</w:t>
      </w:r>
      <w:r w:rsidR="00A43542" w:rsidRPr="00E869E6">
        <w:rPr>
          <w:b/>
          <w:bCs/>
        </w:rPr>
        <w:t>.</w:t>
      </w:r>
    </w:p>
    <w:p w14:paraId="5F127C8D" w14:textId="2E79A155" w:rsidR="00B7209C" w:rsidRDefault="00EC3AB7" w:rsidP="006A7D9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</w:t>
      </w:r>
      <w:r>
        <w:rPr>
          <w:rFonts w:eastAsiaTheme="minorEastAsia"/>
          <w:szCs w:val="24"/>
        </w:rPr>
        <w:t xml:space="preserve">ne </w:t>
      </w:r>
      <w:r w:rsidR="001A13C9">
        <w:rPr>
          <w:rFonts w:eastAsiaTheme="minorEastAsia"/>
          <w:szCs w:val="24"/>
        </w:rPr>
        <w:t>potential approach in 6G</w:t>
      </w:r>
      <w:r>
        <w:rPr>
          <w:rFonts w:eastAsiaTheme="minorEastAsia"/>
          <w:szCs w:val="24"/>
        </w:rPr>
        <w:t xml:space="preserve"> is to convert P2P-based </w:t>
      </w:r>
      <w:r w:rsidR="00F64F03">
        <w:rPr>
          <w:rFonts w:eastAsiaTheme="minorEastAsia"/>
          <w:szCs w:val="24"/>
        </w:rPr>
        <w:t>RAN-CN interface for control plane connection</w:t>
      </w:r>
      <w:r>
        <w:rPr>
          <w:rFonts w:eastAsiaTheme="minorEastAsia"/>
          <w:szCs w:val="24"/>
        </w:rPr>
        <w:t xml:space="preserve"> between RAN node and NFs (including AMF) to be </w:t>
      </w:r>
      <w:r w:rsidR="009938B0">
        <w:rPr>
          <w:rFonts w:eastAsiaTheme="minorEastAsia" w:hint="eastAsia"/>
          <w:szCs w:val="24"/>
        </w:rPr>
        <w:t>service</w:t>
      </w:r>
      <w:r>
        <w:rPr>
          <w:rFonts w:eastAsiaTheme="minorEastAsia"/>
          <w:szCs w:val="24"/>
        </w:rPr>
        <w:t>-based</w:t>
      </w:r>
      <w:r w:rsidR="001A13C9">
        <w:rPr>
          <w:rFonts w:eastAsiaTheme="minorEastAsia" w:hint="eastAsia"/>
          <w:szCs w:val="24"/>
        </w:rPr>
        <w:t>,</w:t>
      </w:r>
      <w:r w:rsidR="001A13C9">
        <w:rPr>
          <w:rFonts w:eastAsiaTheme="minorEastAsia"/>
          <w:szCs w:val="24"/>
        </w:rPr>
        <w:t xml:space="preserve"> which is definitely to be discussed and studied in RAN3.</w:t>
      </w:r>
      <w:r w:rsidR="00B7209C">
        <w:rPr>
          <w:rFonts w:eastAsiaTheme="minorEastAsia"/>
          <w:szCs w:val="24"/>
        </w:rPr>
        <w:t xml:space="preserve"> </w:t>
      </w:r>
      <w:r w:rsidR="00B7209C">
        <w:rPr>
          <w:rFonts w:eastAsiaTheme="minorEastAsia" w:hint="eastAsia"/>
          <w:szCs w:val="24"/>
        </w:rPr>
        <w:t>In</w:t>
      </w:r>
      <w:r w:rsidR="00B7209C">
        <w:rPr>
          <w:rFonts w:eastAsiaTheme="minorEastAsia"/>
          <w:szCs w:val="24"/>
        </w:rPr>
        <w:t xml:space="preserve"> </w:t>
      </w:r>
      <w:r w:rsidR="00B7209C">
        <w:rPr>
          <w:rFonts w:eastAsiaTheme="minorEastAsia" w:hint="eastAsia"/>
          <w:szCs w:val="24"/>
        </w:rPr>
        <w:t>our</w:t>
      </w:r>
      <w:r w:rsidR="00B7209C">
        <w:rPr>
          <w:rFonts w:eastAsiaTheme="minorEastAsia"/>
          <w:szCs w:val="24"/>
        </w:rPr>
        <w:t xml:space="preserve"> understanding, </w:t>
      </w:r>
      <w:r w:rsidR="006A7D98" w:rsidRPr="0084313E">
        <w:rPr>
          <w:rFonts w:eastAsiaTheme="minorEastAsia"/>
          <w:szCs w:val="24"/>
        </w:rPr>
        <w:t xml:space="preserve">we are open to discuss SBI for RAN-CN interface, but it seems RAN3 has not </w:t>
      </w:r>
      <w:r w:rsidR="00345DF5">
        <w:rPr>
          <w:rFonts w:eastAsiaTheme="minorEastAsia" w:hint="eastAsia"/>
          <w:szCs w:val="24"/>
        </w:rPr>
        <w:t>enough</w:t>
      </w:r>
      <w:r w:rsidR="00345DF5">
        <w:rPr>
          <w:rFonts w:eastAsiaTheme="minorEastAsia"/>
          <w:szCs w:val="24"/>
        </w:rPr>
        <w:t xml:space="preserve"> </w:t>
      </w:r>
      <w:r w:rsidR="006A7D98" w:rsidRPr="0084313E">
        <w:rPr>
          <w:rFonts w:eastAsiaTheme="minorEastAsia"/>
          <w:szCs w:val="24"/>
        </w:rPr>
        <w:t>knowledge</w:t>
      </w:r>
      <w:r w:rsidR="00345DF5">
        <w:rPr>
          <w:rFonts w:eastAsiaTheme="minorEastAsia"/>
          <w:szCs w:val="24"/>
        </w:rPr>
        <w:t xml:space="preserve"> or confidence</w:t>
      </w:r>
      <w:r w:rsidR="006A7D98" w:rsidRPr="0084313E">
        <w:rPr>
          <w:rFonts w:eastAsiaTheme="minorEastAsia"/>
          <w:szCs w:val="24"/>
        </w:rPr>
        <w:t xml:space="preserve"> to </w:t>
      </w:r>
      <w:r w:rsidR="00B7209C">
        <w:rPr>
          <w:rFonts w:eastAsiaTheme="minorEastAsia"/>
          <w:szCs w:val="24"/>
        </w:rPr>
        <w:t>look into the</w:t>
      </w:r>
      <w:r w:rsidR="006A7D98" w:rsidRPr="0084313E">
        <w:rPr>
          <w:rFonts w:eastAsiaTheme="minorEastAsia"/>
          <w:szCs w:val="24"/>
        </w:rPr>
        <w:t xml:space="preserve"> detailed SBI </w:t>
      </w:r>
      <w:r w:rsidR="00B7209C">
        <w:rPr>
          <w:rFonts w:eastAsiaTheme="minorEastAsia"/>
          <w:szCs w:val="24"/>
        </w:rPr>
        <w:t>protocol design, e.g., HTTP/2 or QUIC(</w:t>
      </w:r>
      <w:r w:rsidR="00B7209C" w:rsidRPr="00B7209C">
        <w:rPr>
          <w:rFonts w:eastAsiaTheme="minorEastAsia"/>
          <w:szCs w:val="24"/>
        </w:rPr>
        <w:t>HTTP/3</w:t>
      </w:r>
      <w:r w:rsidR="00B7209C">
        <w:rPr>
          <w:rFonts w:eastAsiaTheme="minorEastAsia"/>
          <w:szCs w:val="24"/>
        </w:rPr>
        <w:t>)-based SBI solutions</w:t>
      </w:r>
      <w:r w:rsidR="006A7D98" w:rsidRPr="0084313E">
        <w:rPr>
          <w:rFonts w:eastAsiaTheme="minorEastAsia"/>
          <w:szCs w:val="24"/>
        </w:rPr>
        <w:t>, which is</w:t>
      </w:r>
      <w:r w:rsidR="00B7209C">
        <w:rPr>
          <w:rFonts w:eastAsiaTheme="minorEastAsia"/>
          <w:szCs w:val="24"/>
        </w:rPr>
        <w:t xml:space="preserve"> supposed to be</w:t>
      </w:r>
      <w:r w:rsidR="006A7D98" w:rsidRPr="0084313E">
        <w:rPr>
          <w:rFonts w:eastAsiaTheme="minorEastAsia"/>
          <w:szCs w:val="24"/>
        </w:rPr>
        <w:t xml:space="preserve"> </w:t>
      </w:r>
      <w:r w:rsidR="006A7D98">
        <w:rPr>
          <w:rFonts w:eastAsiaTheme="minorEastAsia" w:hint="eastAsia"/>
          <w:szCs w:val="24"/>
        </w:rPr>
        <w:t>CT</w:t>
      </w:r>
      <w:r w:rsidR="006A7D98" w:rsidRPr="0084313E">
        <w:rPr>
          <w:rFonts w:eastAsiaTheme="minorEastAsia"/>
          <w:szCs w:val="24"/>
        </w:rPr>
        <w:t xml:space="preserve">4’s work if correct. </w:t>
      </w:r>
      <w:r w:rsidR="00B7209C">
        <w:rPr>
          <w:rFonts w:eastAsiaTheme="minorEastAsia"/>
          <w:szCs w:val="24"/>
        </w:rPr>
        <w:t>Therefore, a straightforward way forward is to discuss whether to support service-based RAN-CN interface or not based on use cases/requirements/</w:t>
      </w:r>
      <w:r w:rsidR="00B7209C" w:rsidRPr="00B7209C">
        <w:rPr>
          <w:rFonts w:eastAsiaTheme="minorEastAsia"/>
          <w:szCs w:val="24"/>
        </w:rPr>
        <w:t>pain points</w:t>
      </w:r>
      <w:r w:rsidR="00B7209C">
        <w:rPr>
          <w:rFonts w:eastAsiaTheme="minorEastAsia"/>
          <w:szCs w:val="24"/>
        </w:rPr>
        <w:t>/</w:t>
      </w:r>
      <w:r w:rsidR="00B7209C" w:rsidRPr="00B7209C">
        <w:rPr>
          <w:rFonts w:eastAsiaTheme="minorEastAsia"/>
          <w:szCs w:val="24"/>
        </w:rPr>
        <w:t xml:space="preserve">benefits </w:t>
      </w:r>
      <w:r w:rsidR="00B7209C">
        <w:rPr>
          <w:rFonts w:eastAsiaTheme="minorEastAsia"/>
          <w:szCs w:val="24"/>
        </w:rPr>
        <w:t>in RAN3, and leave the</w:t>
      </w:r>
      <w:r w:rsidR="00A73F47">
        <w:rPr>
          <w:rFonts w:eastAsiaTheme="minorEastAsia"/>
          <w:szCs w:val="24"/>
        </w:rPr>
        <w:t xml:space="preserve"> detailed</w:t>
      </w:r>
      <w:r w:rsidR="00B7209C">
        <w:rPr>
          <w:rFonts w:eastAsiaTheme="minorEastAsia"/>
          <w:szCs w:val="24"/>
        </w:rPr>
        <w:t xml:space="preserve"> protocol design of SBI solution to other WGs such as CT4.</w:t>
      </w:r>
    </w:p>
    <w:p w14:paraId="3A98A912" w14:textId="4F6CD370" w:rsidR="006A7D98" w:rsidRDefault="006A7D98" w:rsidP="006A7D98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6A7D98">
        <w:rPr>
          <w:b/>
          <w:bCs/>
        </w:rPr>
        <w:t xml:space="preserve">The detailed </w:t>
      </w:r>
      <w:r w:rsidR="00B7209C">
        <w:rPr>
          <w:b/>
          <w:bCs/>
        </w:rPr>
        <w:t xml:space="preserve">protocol </w:t>
      </w:r>
      <w:r w:rsidRPr="006A7D98">
        <w:rPr>
          <w:b/>
          <w:bCs/>
        </w:rPr>
        <w:t>design of SBI solutions, e.g., HTTP/2 or HTTP/3-based SBI, should be within the scope of CT4</w:t>
      </w:r>
      <w:r w:rsidRPr="00E869E6">
        <w:rPr>
          <w:b/>
          <w:bCs/>
        </w:rPr>
        <w:t>.</w:t>
      </w:r>
    </w:p>
    <w:p w14:paraId="24801446" w14:textId="2F76E472" w:rsidR="00B7209C" w:rsidRDefault="003E7860" w:rsidP="00B7209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Furthermore</w:t>
      </w:r>
      <w:r w:rsidR="00B7209C">
        <w:rPr>
          <w:rFonts w:eastAsiaTheme="minorEastAsia"/>
          <w:szCs w:val="24"/>
        </w:rPr>
        <w:t xml:space="preserve">, for RAN-CN interface for user plane connection, i.e., NG user plane between RAN node and UPF, </w:t>
      </w:r>
      <w:r w:rsidR="00B7209C">
        <w:rPr>
          <w:rFonts w:eastAsiaTheme="minorEastAsia" w:hint="eastAsia"/>
          <w:szCs w:val="24"/>
        </w:rPr>
        <w:t>it</w:t>
      </w:r>
      <w:r w:rsidR="00B7209C">
        <w:rPr>
          <w:rFonts w:eastAsiaTheme="minorEastAsia"/>
          <w:szCs w:val="24"/>
        </w:rPr>
        <w:t xml:space="preserve"> </w:t>
      </w:r>
      <w:r w:rsidR="00B7209C">
        <w:rPr>
          <w:rFonts w:eastAsiaTheme="minorEastAsia" w:hint="eastAsia"/>
          <w:szCs w:val="24"/>
        </w:rPr>
        <w:t>seems</w:t>
      </w:r>
      <w:r w:rsidR="00B7209C">
        <w:rPr>
          <w:rFonts w:eastAsiaTheme="minorEastAsia"/>
          <w:szCs w:val="24"/>
        </w:rPr>
        <w:t xml:space="preserve"> </w:t>
      </w:r>
      <w:r w:rsidR="00B7209C">
        <w:rPr>
          <w:rFonts w:eastAsiaTheme="minorEastAsia" w:hint="eastAsia"/>
          <w:szCs w:val="24"/>
        </w:rPr>
        <w:t>that</w:t>
      </w:r>
      <w:r w:rsidR="00B7209C">
        <w:rPr>
          <w:rFonts w:eastAsiaTheme="minorEastAsia"/>
          <w:szCs w:val="24"/>
        </w:rPr>
        <w:t xml:space="preserve"> no such use case is foreseen currently. Therefore, we understand that it is good to clarify this.</w:t>
      </w:r>
    </w:p>
    <w:p w14:paraId="609698A5" w14:textId="77777777" w:rsidR="00B7209C" w:rsidRDefault="00B7209C" w:rsidP="00B7209C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 xml:space="preserve">No use case to support </w:t>
      </w:r>
      <w:r>
        <w:rPr>
          <w:rFonts w:hint="eastAsia"/>
          <w:b/>
          <w:bCs/>
        </w:rPr>
        <w:t>service</w:t>
      </w:r>
      <w:r>
        <w:rPr>
          <w:b/>
          <w:bCs/>
        </w:rPr>
        <w:t>-based RAN-CN</w:t>
      </w:r>
      <w:r w:rsidRPr="006B0F77">
        <w:rPr>
          <w:b/>
          <w:bCs/>
        </w:rPr>
        <w:t xml:space="preserve"> interface </w:t>
      </w:r>
      <w:r>
        <w:rPr>
          <w:b/>
          <w:bCs/>
        </w:rPr>
        <w:t xml:space="preserve">for user plane connection </w:t>
      </w:r>
      <w:r w:rsidRPr="006B0F77">
        <w:rPr>
          <w:b/>
          <w:bCs/>
        </w:rPr>
        <w:t>between RAN</w:t>
      </w:r>
      <w:r>
        <w:rPr>
          <w:b/>
          <w:bCs/>
        </w:rPr>
        <w:t xml:space="preserve"> node</w:t>
      </w:r>
      <w:r w:rsidRPr="006B0F77">
        <w:rPr>
          <w:b/>
          <w:bCs/>
        </w:rPr>
        <w:t xml:space="preserve"> and </w:t>
      </w:r>
      <w:r>
        <w:rPr>
          <w:b/>
          <w:bCs/>
        </w:rPr>
        <w:t>UPF in 6G</w:t>
      </w:r>
      <w:r w:rsidRPr="00E869E6">
        <w:rPr>
          <w:b/>
          <w:bCs/>
        </w:rPr>
        <w:t>.</w:t>
      </w:r>
    </w:p>
    <w:p w14:paraId="1A1C30BC" w14:textId="515346C6" w:rsidR="00E213D1" w:rsidRDefault="00210236" w:rsidP="00345DF5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study </w:t>
      </w:r>
      <w:r w:rsidR="004F3C2B">
        <w:rPr>
          <w:b/>
          <w:bCs/>
        </w:rPr>
        <w:t>whether to</w:t>
      </w:r>
      <w:r w:rsidR="002A263D">
        <w:rPr>
          <w:b/>
          <w:bCs/>
        </w:rPr>
        <w:t xml:space="preserve"> support </w:t>
      </w:r>
      <w:r w:rsidR="009938B0"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 w:rsidR="00E213D1">
        <w:rPr>
          <w:b/>
          <w:bCs/>
        </w:rPr>
        <w:t xml:space="preserve"> </w:t>
      </w:r>
      <w:r w:rsidR="00C904BF">
        <w:rPr>
          <w:b/>
          <w:bCs/>
        </w:rPr>
        <w:t>for control plane connection</w:t>
      </w:r>
      <w:r w:rsidR="004F3C2B">
        <w:rPr>
          <w:b/>
          <w:bCs/>
        </w:rPr>
        <w:t xml:space="preserve"> or not</w:t>
      </w:r>
      <w:r w:rsidR="006A7D98">
        <w:rPr>
          <w:b/>
          <w:bCs/>
        </w:rPr>
        <w:t>, and leave the</w:t>
      </w:r>
      <w:r w:rsidR="00A73F47">
        <w:rPr>
          <w:b/>
          <w:bCs/>
        </w:rPr>
        <w:t xml:space="preserve"> </w:t>
      </w:r>
      <w:r w:rsidR="00A73F47">
        <w:rPr>
          <w:rFonts w:hint="eastAsia"/>
          <w:b/>
          <w:bCs/>
        </w:rPr>
        <w:t>detailed</w:t>
      </w:r>
      <w:r w:rsidR="00A73F47">
        <w:rPr>
          <w:b/>
          <w:bCs/>
        </w:rPr>
        <w:t xml:space="preserve"> protocol</w:t>
      </w:r>
      <w:r w:rsidR="006A7D98">
        <w:rPr>
          <w:b/>
          <w:bCs/>
        </w:rPr>
        <w:t xml:space="preserve"> design of</w:t>
      </w:r>
      <w:r w:rsidR="00240030">
        <w:rPr>
          <w:b/>
          <w:bCs/>
        </w:rPr>
        <w:t xml:space="preserve"> </w:t>
      </w:r>
      <w:r w:rsidR="006A7D98">
        <w:rPr>
          <w:b/>
          <w:bCs/>
        </w:rPr>
        <w:t xml:space="preserve">SBI solution to </w:t>
      </w:r>
      <w:r w:rsidR="00A73F47">
        <w:rPr>
          <w:b/>
          <w:bCs/>
        </w:rPr>
        <w:t xml:space="preserve">other WGs, e.g., </w:t>
      </w:r>
      <w:r w:rsidR="006A7D98">
        <w:rPr>
          <w:b/>
          <w:bCs/>
        </w:rPr>
        <w:t xml:space="preserve">CT4, </w:t>
      </w:r>
      <w:r w:rsidR="006A7D98">
        <w:rPr>
          <w:rFonts w:hint="eastAsia"/>
          <w:b/>
          <w:bCs/>
        </w:rPr>
        <w:t>if</w:t>
      </w:r>
      <w:r w:rsidR="006A7D98">
        <w:rPr>
          <w:b/>
          <w:bCs/>
        </w:rPr>
        <w:t xml:space="preserve"> </w:t>
      </w:r>
      <w:r w:rsidR="006A7D98">
        <w:rPr>
          <w:rFonts w:hint="eastAsia"/>
          <w:b/>
          <w:bCs/>
        </w:rPr>
        <w:t>supported</w:t>
      </w:r>
      <w:r>
        <w:rPr>
          <w:b/>
          <w:bCs/>
        </w:rPr>
        <w:t>.</w:t>
      </w:r>
    </w:p>
    <w:p w14:paraId="1562E9F3" w14:textId="576C9468" w:rsidR="006A7D98" w:rsidRPr="00345DF5" w:rsidRDefault="00A73F47" w:rsidP="00345DF5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345DF5">
        <w:rPr>
          <w:rFonts w:eastAsiaTheme="minorEastAsia"/>
          <w:szCs w:val="24"/>
        </w:rPr>
        <w:t>As</w:t>
      </w:r>
      <w:r>
        <w:rPr>
          <w:rFonts w:eastAsiaTheme="minorEastAsia"/>
          <w:szCs w:val="24"/>
        </w:rPr>
        <w:t xml:space="preserve"> mentioned above, we understand the</w:t>
      </w:r>
      <w:r w:rsidR="00862426">
        <w:rPr>
          <w:rFonts w:eastAsiaTheme="minorEastAsia"/>
          <w:szCs w:val="24"/>
        </w:rPr>
        <w:t xml:space="preserve"> motivation to</w:t>
      </w:r>
      <w:r>
        <w:rPr>
          <w:rFonts w:eastAsiaTheme="minorEastAsia"/>
          <w:szCs w:val="24"/>
        </w:rPr>
        <w:t xml:space="preserve"> support service-based RAN-CN interface is more for new services in 6G, such as AI/ML and sensing. For legacy connectivity services,</w:t>
      </w:r>
      <w:r w:rsidR="00771944">
        <w:rPr>
          <w:rFonts w:eastAsiaTheme="minorEastAsia"/>
          <w:szCs w:val="24"/>
        </w:rPr>
        <w:t xml:space="preserve"> P2P interface should be kept anyway, considering</w:t>
      </w:r>
      <w:r w:rsidR="00855FD6">
        <w:rPr>
          <w:rFonts w:eastAsiaTheme="minorEastAsia"/>
          <w:szCs w:val="24"/>
        </w:rPr>
        <w:t xml:space="preserve"> the backward compatibility of core network evolution and</w:t>
      </w:r>
      <w:r w:rsidR="00771944">
        <w:rPr>
          <w:rFonts w:eastAsiaTheme="minorEastAsia"/>
          <w:szCs w:val="24"/>
        </w:rPr>
        <w:t xml:space="preserve"> the support of interworking between 5G and 6G</w:t>
      </w:r>
      <w:r w:rsidR="00855FD6">
        <w:rPr>
          <w:rFonts w:eastAsiaTheme="minorEastAsia"/>
          <w:szCs w:val="24"/>
        </w:rPr>
        <w:t xml:space="preserve">, so further study is needed on the support of service-based interface. </w:t>
      </w:r>
    </w:p>
    <w:p w14:paraId="3C1FD5B2" w14:textId="3F386946" w:rsidR="002A263D" w:rsidRDefault="00855FD6" w:rsidP="00240030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For</w:t>
      </w:r>
      <w:r w:rsidR="002A263D">
        <w:rPr>
          <w:b/>
          <w:bCs/>
        </w:rPr>
        <w:t xml:space="preserve"> </w:t>
      </w:r>
      <w:r w:rsidR="009938B0">
        <w:rPr>
          <w:rFonts w:hint="eastAsia"/>
          <w:b/>
          <w:bCs/>
        </w:rPr>
        <w:t>service</w:t>
      </w:r>
      <w:r w:rsidR="002A263D" w:rsidRPr="00210236">
        <w:rPr>
          <w:b/>
          <w:bCs/>
        </w:rPr>
        <w:t>-based RAN-CN interface</w:t>
      </w:r>
      <w:r>
        <w:rPr>
          <w:b/>
          <w:bCs/>
        </w:rPr>
        <w:t xml:space="preserve">, </w:t>
      </w:r>
      <w:r w:rsidRPr="00D968EE">
        <w:rPr>
          <w:b/>
          <w:bCs/>
        </w:rPr>
        <w:t xml:space="preserve">RAN3 study </w:t>
      </w:r>
      <w:r>
        <w:rPr>
          <w:b/>
          <w:bCs/>
        </w:rPr>
        <w:t>the support for</w:t>
      </w:r>
      <w:r w:rsidR="002A263D">
        <w:rPr>
          <w:b/>
          <w:bCs/>
        </w:rPr>
        <w:t xml:space="preserve"> new</w:t>
      </w:r>
      <w:r w:rsidR="002A263D" w:rsidRPr="00E213D1">
        <w:rPr>
          <w:b/>
          <w:bCs/>
        </w:rPr>
        <w:t xml:space="preserve"> services (e.g., Sensing, AI/ML) provided by 6G</w:t>
      </w:r>
      <w:r>
        <w:rPr>
          <w:b/>
          <w:bCs/>
        </w:rPr>
        <w:t xml:space="preserve"> as starting point, FFS for </w:t>
      </w:r>
      <w:r w:rsidRPr="00855FD6">
        <w:rPr>
          <w:b/>
          <w:bCs/>
        </w:rPr>
        <w:t>legacy connectivity services</w:t>
      </w:r>
      <w:r>
        <w:rPr>
          <w:b/>
          <w:bCs/>
        </w:rPr>
        <w:t>.</w:t>
      </w:r>
    </w:p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6" w:name="_Hlk162822557"/>
      <w:r>
        <w:t>Based on the discussion above, we made the following observations and proposals:</w:t>
      </w:r>
    </w:p>
    <w:p w14:paraId="502142D1" w14:textId="1D95D328" w:rsidR="0033673C" w:rsidRDefault="00352349" w:rsidP="0037429B">
      <w:pPr>
        <w:numPr>
          <w:ilvl w:val="0"/>
          <w:numId w:val="12"/>
        </w:numPr>
        <w:ind w:left="1701" w:hanging="1701"/>
        <w:rPr>
          <w:b/>
          <w:bCs/>
        </w:rPr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6"/>
      <w:bookmarkEnd w:id="7"/>
      <w:r w:rsidRPr="006B0F77">
        <w:rPr>
          <w:b/>
          <w:bCs/>
        </w:rPr>
        <w:t xml:space="preserve">In case that heavy </w:t>
      </w:r>
      <w:r w:rsidRPr="00707A02">
        <w:rPr>
          <w:b/>
          <w:bCs/>
        </w:rPr>
        <w:t xml:space="preserve">transport </w:t>
      </w:r>
      <w:r w:rsidRPr="006B0F77">
        <w:rPr>
          <w:b/>
          <w:bCs/>
        </w:rPr>
        <w:t xml:space="preserve">overhead is expected in 6G, </w:t>
      </w:r>
      <w:r w:rsidRPr="00704369">
        <w:rPr>
          <w:b/>
          <w:bCs/>
        </w:rPr>
        <w:t>especially for new services such as AI/ML and sensing,</w:t>
      </w:r>
      <w:r>
        <w:rPr>
          <w:b/>
          <w:bCs/>
        </w:rPr>
        <w:t xml:space="preserve"> </w:t>
      </w:r>
      <w:r w:rsidRPr="006B0F77">
        <w:rPr>
          <w:b/>
          <w:bCs/>
        </w:rPr>
        <w:t>a centralized AMF and the P2P</w:t>
      </w:r>
      <w:r>
        <w:rPr>
          <w:b/>
          <w:bCs/>
        </w:rPr>
        <w:t>-based RAN-CN</w:t>
      </w:r>
      <w:r w:rsidRPr="006B0F77">
        <w:rPr>
          <w:b/>
          <w:bCs/>
        </w:rPr>
        <w:t xml:space="preserve"> interface between RAN </w:t>
      </w:r>
      <w:r>
        <w:rPr>
          <w:rFonts w:hint="eastAsia"/>
          <w:b/>
          <w:bCs/>
        </w:rPr>
        <w:t>node</w:t>
      </w:r>
      <w:r>
        <w:rPr>
          <w:b/>
          <w:bCs/>
        </w:rPr>
        <w:t xml:space="preserve"> </w:t>
      </w:r>
      <w:r w:rsidRPr="006B0F77">
        <w:rPr>
          <w:b/>
          <w:bCs/>
        </w:rPr>
        <w:t xml:space="preserve">and AMF are the bottleneck for </w:t>
      </w:r>
      <w:r w:rsidRPr="00707A02">
        <w:rPr>
          <w:b/>
          <w:bCs/>
        </w:rPr>
        <w:t>control plane signalling transfer</w:t>
      </w:r>
      <w:r w:rsidR="00587CB0">
        <w:rPr>
          <w:rFonts w:hint="eastAsia"/>
          <w:b/>
          <w:bCs/>
        </w:rPr>
        <w:t>.</w:t>
      </w:r>
    </w:p>
    <w:p w14:paraId="05DC89F8" w14:textId="49D9CE50" w:rsidR="00352349" w:rsidRDefault="00352349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6A7D98">
        <w:rPr>
          <w:b/>
          <w:bCs/>
        </w:rPr>
        <w:t xml:space="preserve">The detailed </w:t>
      </w:r>
      <w:r>
        <w:rPr>
          <w:b/>
          <w:bCs/>
        </w:rPr>
        <w:t xml:space="preserve">protocol </w:t>
      </w:r>
      <w:r w:rsidRPr="006A7D98">
        <w:rPr>
          <w:b/>
          <w:bCs/>
        </w:rPr>
        <w:t>design of SBI solutions, e.g., HTTP/2 or HTTP/3-based SBI, should be within the scope of CT4</w:t>
      </w:r>
      <w:r>
        <w:rPr>
          <w:b/>
          <w:bCs/>
        </w:rPr>
        <w:t>.</w:t>
      </w:r>
    </w:p>
    <w:p w14:paraId="00184454" w14:textId="0CC8278A" w:rsidR="004C0794" w:rsidRDefault="00352349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No use case to support </w:t>
      </w:r>
      <w:r>
        <w:rPr>
          <w:rFonts w:hint="eastAsia"/>
          <w:b/>
          <w:bCs/>
        </w:rPr>
        <w:t>service</w:t>
      </w:r>
      <w:r>
        <w:rPr>
          <w:b/>
          <w:bCs/>
        </w:rPr>
        <w:t>-based RAN-CN</w:t>
      </w:r>
      <w:r w:rsidRPr="006B0F77">
        <w:rPr>
          <w:b/>
          <w:bCs/>
        </w:rPr>
        <w:t xml:space="preserve"> interface </w:t>
      </w:r>
      <w:r>
        <w:rPr>
          <w:b/>
          <w:bCs/>
        </w:rPr>
        <w:t xml:space="preserve">for user plane connection </w:t>
      </w:r>
      <w:r w:rsidRPr="006B0F77">
        <w:rPr>
          <w:b/>
          <w:bCs/>
        </w:rPr>
        <w:t>between RAN</w:t>
      </w:r>
      <w:r>
        <w:rPr>
          <w:b/>
          <w:bCs/>
        </w:rPr>
        <w:t xml:space="preserve"> node</w:t>
      </w:r>
      <w:r w:rsidRPr="006B0F77">
        <w:rPr>
          <w:b/>
          <w:bCs/>
        </w:rPr>
        <w:t xml:space="preserve"> and </w:t>
      </w:r>
      <w:r>
        <w:rPr>
          <w:b/>
          <w:bCs/>
        </w:rPr>
        <w:t>UPF in 6G</w:t>
      </w:r>
      <w:r w:rsidR="004C0794">
        <w:rPr>
          <w:b/>
          <w:bCs/>
        </w:rPr>
        <w:t>.</w:t>
      </w:r>
    </w:p>
    <w:p w14:paraId="726C9C56" w14:textId="5557C132" w:rsidR="004C0794" w:rsidRDefault="00352349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study </w:t>
      </w:r>
      <w:r>
        <w:rPr>
          <w:b/>
          <w:bCs/>
        </w:rPr>
        <w:t xml:space="preserve">whether to support </w:t>
      </w:r>
      <w:r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>
        <w:rPr>
          <w:b/>
          <w:bCs/>
        </w:rPr>
        <w:t xml:space="preserve"> for control plane connection or not, and leave the </w:t>
      </w:r>
      <w:r>
        <w:rPr>
          <w:rFonts w:hint="eastAsia"/>
          <w:b/>
          <w:bCs/>
        </w:rPr>
        <w:t>detailed</w:t>
      </w:r>
      <w:r>
        <w:rPr>
          <w:b/>
          <w:bCs/>
        </w:rPr>
        <w:t xml:space="preserve"> protocol design of SBI solution to other WGs, e.g., CT4, </w:t>
      </w:r>
      <w:r>
        <w:rPr>
          <w:rFonts w:hint="eastAsia"/>
          <w:b/>
          <w:bCs/>
        </w:rPr>
        <w:t>if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supported</w:t>
      </w:r>
      <w:r w:rsidR="004C0794">
        <w:rPr>
          <w:b/>
          <w:bCs/>
        </w:rPr>
        <w:t>.</w:t>
      </w:r>
    </w:p>
    <w:p w14:paraId="4814BE11" w14:textId="5A1C42D4" w:rsidR="002D7621" w:rsidRDefault="00352349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>
        <w:rPr>
          <w:b/>
          <w:bCs/>
        </w:rPr>
        <w:t xml:space="preserve">, </w:t>
      </w:r>
      <w:r w:rsidRPr="00D968EE">
        <w:rPr>
          <w:b/>
          <w:bCs/>
        </w:rPr>
        <w:t xml:space="preserve">RAN3 study </w:t>
      </w:r>
      <w:r>
        <w:rPr>
          <w:b/>
          <w:bCs/>
        </w:rPr>
        <w:t>the support for new</w:t>
      </w:r>
      <w:r w:rsidRPr="00E213D1">
        <w:rPr>
          <w:b/>
          <w:bCs/>
        </w:rPr>
        <w:t xml:space="preserve"> services (e.g., Sensing, AI/ML) provided by 6G</w:t>
      </w:r>
      <w:r>
        <w:rPr>
          <w:b/>
          <w:bCs/>
        </w:rPr>
        <w:t xml:space="preserve"> as starting point, FFS for </w:t>
      </w:r>
      <w:r w:rsidRPr="00855FD6">
        <w:rPr>
          <w:b/>
          <w:bCs/>
        </w:rPr>
        <w:t>legacy connectivity services</w:t>
      </w:r>
      <w:r w:rsidR="00D968EE" w:rsidRPr="00D968EE">
        <w:rPr>
          <w:b/>
          <w:bCs/>
        </w:rPr>
        <w:t>.</w:t>
      </w:r>
    </w:p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8"/>
      <w:bookmarkEnd w:id="9"/>
      <w:bookmarkEnd w:id="10"/>
    </w:p>
    <w:p w14:paraId="091626D4" w14:textId="327160D3" w:rsidR="00DE4070" w:rsidRDefault="000721BE" w:rsidP="00DF4A94">
      <w:bookmarkStart w:id="11" w:name="_Hlk209165499"/>
      <w:r w:rsidRPr="000721BE">
        <w:t xml:space="preserve">[1] </w:t>
      </w:r>
      <w:r w:rsidR="002C3E42">
        <w:t>RP-252912</w:t>
      </w:r>
      <w:r>
        <w:t xml:space="preserve">, </w:t>
      </w:r>
      <w:r w:rsidRPr="000721BE">
        <w:t>New SID: Study on 6G Radio</w:t>
      </w:r>
      <w:r w:rsidR="009E1A54">
        <w:t xml:space="preserve">, </w:t>
      </w:r>
      <w:r w:rsidR="009E1A54" w:rsidRPr="009E1A54">
        <w:t>NTT DOCOMO</w:t>
      </w:r>
      <w:bookmarkEnd w:id="11"/>
    </w:p>
    <w:sectPr w:rsidR="00DE407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AC456" w14:textId="77777777" w:rsidR="006F5BC7" w:rsidRDefault="006F5BC7">
      <w:r>
        <w:separator/>
      </w:r>
    </w:p>
  </w:endnote>
  <w:endnote w:type="continuationSeparator" w:id="0">
    <w:p w14:paraId="7E70A27D" w14:textId="77777777" w:rsidR="006F5BC7" w:rsidRDefault="006F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961A9" w14:textId="77777777" w:rsidR="006F5BC7" w:rsidRDefault="006F5BC7">
      <w:r>
        <w:separator/>
      </w:r>
    </w:p>
  </w:footnote>
  <w:footnote w:type="continuationSeparator" w:id="0">
    <w:p w14:paraId="2DC66C5F" w14:textId="77777777" w:rsidR="006F5BC7" w:rsidRDefault="006F5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5759A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2284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812C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E40C94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6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4"/>
  </w:num>
  <w:num w:numId="5">
    <w:abstractNumId w:val="19"/>
  </w:num>
  <w:num w:numId="6">
    <w:abstractNumId w:val="14"/>
  </w:num>
  <w:num w:numId="7">
    <w:abstractNumId w:val="15"/>
  </w:num>
  <w:num w:numId="8">
    <w:abstractNumId w:val="17"/>
  </w:num>
  <w:num w:numId="9">
    <w:abstractNumId w:val="2"/>
  </w:num>
  <w:num w:numId="10">
    <w:abstractNumId w:val="16"/>
  </w:num>
  <w:num w:numId="11">
    <w:abstractNumId w:val="5"/>
  </w:num>
  <w:num w:numId="12">
    <w:abstractNumId w:val="12"/>
  </w:num>
  <w:num w:numId="13">
    <w:abstractNumId w:val="0"/>
  </w:num>
  <w:num w:numId="14">
    <w:abstractNumId w:val="8"/>
  </w:num>
  <w:num w:numId="15">
    <w:abstractNumId w:val="6"/>
  </w:num>
  <w:num w:numId="16">
    <w:abstractNumId w:val="18"/>
  </w:num>
  <w:num w:numId="17">
    <w:abstractNumId w:val="13"/>
  </w:num>
  <w:num w:numId="18">
    <w:abstractNumId w:val="10"/>
  </w:num>
  <w:num w:numId="19">
    <w:abstractNumId w:val="9"/>
  </w:num>
  <w:num w:numId="20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BE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4FCA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24B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22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AC7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036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12A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3C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02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18B9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236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2BA6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030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63D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2CA6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3E42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23A"/>
    <w:rsid w:val="002E5BE3"/>
    <w:rsid w:val="002E730C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BB0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BF3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629C"/>
    <w:rsid w:val="003171BF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5DF5"/>
    <w:rsid w:val="0034691B"/>
    <w:rsid w:val="00346DB5"/>
    <w:rsid w:val="003472D8"/>
    <w:rsid w:val="003477B1"/>
    <w:rsid w:val="003503FC"/>
    <w:rsid w:val="003519CE"/>
    <w:rsid w:val="00351D15"/>
    <w:rsid w:val="00352349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860"/>
    <w:rsid w:val="003E78A2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5F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BB3"/>
    <w:rsid w:val="00426CD7"/>
    <w:rsid w:val="00427248"/>
    <w:rsid w:val="00427572"/>
    <w:rsid w:val="00427629"/>
    <w:rsid w:val="004276D1"/>
    <w:rsid w:val="00427B9C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5AB"/>
    <w:rsid w:val="0045467D"/>
    <w:rsid w:val="00454B78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3BA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0794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3C2B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9AB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766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3ABE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17E08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5BCF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4A1C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09F6"/>
    <w:rsid w:val="00691672"/>
    <w:rsid w:val="00691D8A"/>
    <w:rsid w:val="006944A7"/>
    <w:rsid w:val="00694B5B"/>
    <w:rsid w:val="006957DC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2BBC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A7D98"/>
    <w:rsid w:val="006B04B1"/>
    <w:rsid w:val="006B0D60"/>
    <w:rsid w:val="006B0F77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6F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36A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BC7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131"/>
    <w:rsid w:val="00704369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A02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37977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EA7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944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2C8E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4A8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5FD6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2365"/>
    <w:rsid w:val="00862426"/>
    <w:rsid w:val="0086318D"/>
    <w:rsid w:val="00863232"/>
    <w:rsid w:val="0086347D"/>
    <w:rsid w:val="008634F4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35A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113E"/>
    <w:rsid w:val="009016E1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6B7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8B0"/>
    <w:rsid w:val="0099392E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32B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3C14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364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3542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507"/>
    <w:rsid w:val="00A71B99"/>
    <w:rsid w:val="00A71F72"/>
    <w:rsid w:val="00A72286"/>
    <w:rsid w:val="00A7368D"/>
    <w:rsid w:val="00A739D0"/>
    <w:rsid w:val="00A73F47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EC7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D89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A7F4A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0C25"/>
    <w:rsid w:val="00AF131E"/>
    <w:rsid w:val="00AF15A5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4769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63B9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09C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2F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2260"/>
    <w:rsid w:val="00C42509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5EE6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A8B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1DE2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4BF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6682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104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EAD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67499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428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68EE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D4F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48C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2B65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06E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3D1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2DE6"/>
    <w:rsid w:val="00E432A2"/>
    <w:rsid w:val="00E434B5"/>
    <w:rsid w:val="00E43C7D"/>
    <w:rsid w:val="00E43D6A"/>
    <w:rsid w:val="00E446F1"/>
    <w:rsid w:val="00E452F2"/>
    <w:rsid w:val="00E45A85"/>
    <w:rsid w:val="00E45E18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24A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5AFE"/>
    <w:rsid w:val="00E86480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3AB7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1E08"/>
    <w:rsid w:val="00EE21D7"/>
    <w:rsid w:val="00EE28F4"/>
    <w:rsid w:val="00EE2CE8"/>
    <w:rsid w:val="00EE3C81"/>
    <w:rsid w:val="00EE3F46"/>
    <w:rsid w:val="00EE42D3"/>
    <w:rsid w:val="00EE49B5"/>
    <w:rsid w:val="00EE5204"/>
    <w:rsid w:val="00EE59F2"/>
    <w:rsid w:val="00EE6192"/>
    <w:rsid w:val="00EE6BBB"/>
    <w:rsid w:val="00EF130A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9D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B7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4F03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915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13A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3412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132</cp:revision>
  <cp:lastPrinted>2008-01-31T00:09:00Z</cp:lastPrinted>
  <dcterms:created xsi:type="dcterms:W3CDTF">2025-03-25T10:39:00Z</dcterms:created>
  <dcterms:modified xsi:type="dcterms:W3CDTF">2025-11-07T02:14:00Z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